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3C" w:rsidRPr="00036034" w:rsidRDefault="002A0312">
      <w:pPr>
        <w:spacing w:after="0"/>
        <w:ind w:right="2"/>
        <w:jc w:val="center"/>
        <w:rPr>
          <w:rFonts w:asciiTheme="minorHAnsi" w:hAnsiTheme="minorHAnsi" w:cstheme="minorHAnsi"/>
        </w:rPr>
      </w:pPr>
      <w:r w:rsidRPr="00036034">
        <w:rPr>
          <w:rFonts w:asciiTheme="minorHAnsi" w:eastAsia="Times New Roman" w:hAnsiTheme="minorHAnsi" w:cstheme="minorHAnsi"/>
          <w:b/>
          <w:sz w:val="44"/>
          <w:u w:val="single" w:color="000000"/>
        </w:rPr>
        <w:t xml:space="preserve">Liptovský šachový zväz </w:t>
      </w:r>
      <w:r w:rsidR="00A811BE">
        <w:rPr>
          <w:rFonts w:asciiTheme="minorHAnsi" w:eastAsia="Times New Roman" w:hAnsiTheme="minorHAnsi" w:cstheme="minorHAnsi"/>
          <w:b/>
          <w:sz w:val="44"/>
          <w:u w:val="single" w:color="000000"/>
        </w:rPr>
        <w:t>–</w:t>
      </w:r>
      <w:r w:rsidRPr="00036034">
        <w:rPr>
          <w:rFonts w:asciiTheme="minorHAnsi" w:eastAsia="Times New Roman" w:hAnsiTheme="minorHAnsi" w:cstheme="minorHAnsi"/>
          <w:b/>
          <w:sz w:val="44"/>
          <w:u w:val="single" w:color="000000"/>
        </w:rPr>
        <w:t xml:space="preserve"> </w:t>
      </w:r>
      <w:r w:rsidR="00A811BE">
        <w:rPr>
          <w:rFonts w:asciiTheme="minorHAnsi" w:eastAsia="Times New Roman" w:hAnsiTheme="minorHAnsi" w:cstheme="minorHAnsi"/>
          <w:b/>
          <w:sz w:val="44"/>
          <w:u w:val="single" w:color="000000"/>
        </w:rPr>
        <w:t xml:space="preserve">RŠA </w:t>
      </w:r>
      <w:r w:rsidRPr="00036034">
        <w:rPr>
          <w:rFonts w:asciiTheme="minorHAnsi" w:eastAsia="Times New Roman" w:hAnsiTheme="minorHAnsi" w:cstheme="minorHAnsi"/>
          <w:b/>
          <w:sz w:val="44"/>
          <w:u w:val="single" w:color="000000"/>
        </w:rPr>
        <w:t>Liptovská šachová škola</w:t>
      </w:r>
    </w:p>
    <w:p w:rsidR="0096233C" w:rsidRDefault="0096233C">
      <w:pPr>
        <w:spacing w:after="0"/>
        <w:ind w:left="48"/>
        <w:jc w:val="center"/>
      </w:pPr>
    </w:p>
    <w:p w:rsidR="0096233C" w:rsidRDefault="007A0636">
      <w:pPr>
        <w:spacing w:after="0"/>
        <w:ind w:left="126"/>
        <w:jc w:val="center"/>
      </w:pPr>
      <w:r>
        <w:rPr>
          <w:noProof/>
        </w:rPr>
      </w:r>
      <w:r>
        <w:rPr>
          <w:noProof/>
        </w:rPr>
        <w:pict>
          <v:group id="Group 6897" o:spid="_x0000_s1026" style="width:283.5pt;height:59.2pt;mso-position-horizontal-relative:char;mso-position-vertical-relative:line" coordsize="36005,7519">
            <v:rect id="Rectangle 14" o:spid="_x0000_s1039" style="position:absolute;left:3624;top:6119;width:420;height:1862" filled="f" stroked="f">
              <v:textbox inset="0,0,0,0">
                <w:txbxContent>
                  <w:p w:rsidR="003209A1" w:rsidRDefault="003209A1"/>
                </w:txbxContent>
              </v:textbox>
            </v:rect>
            <v:rect id="Rectangle 15" o:spid="_x0000_s1038" style="position:absolute;left:11366;top:6119;width:420;height:1862" filled="f" stroked="f">
              <v:textbox inset="0,0,0,0">
                <w:txbxContent>
                  <w:p w:rsidR="003209A1" w:rsidRDefault="003209A1"/>
                </w:txbxContent>
              </v:textbox>
            </v:rect>
            <v:rect id="Rectangle 16" o:spid="_x0000_s1037" style="position:absolute;left:15300;top:6119;width:420;height:1862" filled="f" stroked="f">
              <v:textbox inset="0,0,0,0">
                <w:txbxContent>
                  <w:p w:rsidR="003209A1" w:rsidRDefault="003209A1"/>
                </w:txbxContent>
              </v:textbox>
            </v:rect>
            <v:rect id="Rectangle 17" o:spid="_x0000_s1036" style="position:absolute;left:15621;top:6119;width:1271;height:1862" filled="f" stroked="f">
              <v:textbox inset="0,0,0,0">
                <w:txbxContent>
                  <w:p w:rsidR="003209A1" w:rsidRDefault="003209A1"/>
                </w:txbxContent>
              </v:textbox>
            </v:rect>
            <v:rect id="Rectangle 18" o:spid="_x0000_s1035" style="position:absolute;left:16581;top:6212;width:422;height:1695" filled="f" stroked="f">
              <v:textbox inset="0,0,0,0">
                <w:txbxContent>
                  <w:p w:rsidR="003209A1" w:rsidRDefault="003209A1"/>
                </w:txbxContent>
              </v:textbox>
            </v:rect>
            <v:rect id="Rectangle 19" o:spid="_x0000_s1034" style="position:absolute;left:31550;top:6119;width:420;height:1862" filled="f" stroked="f">
              <v:textbox inset="0,0,0,0">
                <w:txbxContent>
                  <w:p w:rsidR="003209A1" w:rsidRDefault="003209A1"/>
                </w:txbxContent>
              </v:textbox>
            </v:rect>
            <v:rect id="Rectangle 20" o:spid="_x0000_s1033" style="position:absolute;left:31870;top:6119;width:420;height:1862" filled="f" stroked="f">
              <v:textbox inset="0,0,0,0">
                <w:txbxContent>
                  <w:p w:rsidR="003209A1" w:rsidRDefault="003209A1"/>
                </w:txbxContent>
              </v:textbox>
            </v:rect>
            <v:shape id="Picture 306" o:spid="_x0000_s1032" style="position:absolute;top:3619;width:3619;height:3619" coordsize="21600,21600" o:spt="100" adj="0,,0" path="" filled="f">
              <v:stroke joinstyle="round"/>
              <v:imagedata r:id="rId5" o:title="image0"/>
              <v:formulas/>
              <v:path o:connecttype="segments"/>
            </v:shape>
            <v:shape id="Picture 308" o:spid="_x0000_s1031" style="position:absolute;left:4127;width:7239;height:7239" coordsize="21600,21600" o:spt="100" adj="0,,0" path="" filled="f">
              <v:stroke joinstyle="round"/>
              <v:imagedata r:id="rId6" o:title="image1"/>
              <v:formulas/>
              <v:path o:connecttype="segments"/>
            </v:shape>
            <v:shape id="Picture 310" o:spid="_x0000_s1030" style="position:absolute;left:11684;top:3619;width:3619;height:3619" coordsize="21600,21600" o:spt="100" adj="0,,0" path="" filled="f">
              <v:stroke joinstyle="round"/>
              <v:imagedata r:id="rId7" o:title="image2"/>
              <v:formulas/>
              <v:path o:connecttype="segments"/>
            </v:shape>
            <v:shape id="Picture 312" o:spid="_x0000_s1029" style="position:absolute;left:16892;top:3619;width:3619;height:3619" coordsize="21600,21600" o:spt="100" adj="0,,0" path="" filled="f">
              <v:stroke joinstyle="round"/>
              <v:imagedata r:id="rId8" o:title="image30"/>
              <v:formulas/>
              <v:path o:connecttype="segments"/>
            </v:shape>
            <v:shape id="Picture 314" o:spid="_x0000_s1028" style="position:absolute;left:20702;width:10763;height:7239" coordsize="21600,21600" o:spt="100" adj="0,,0" path="" filled="f">
              <v:stroke joinstyle="round"/>
              <v:imagedata r:id="rId9" o:title="image4"/>
              <v:formulas/>
              <v:path o:connecttype="segments"/>
            </v:shape>
            <v:shape id="Picture 316" o:spid="_x0000_s1027" style="position:absolute;left:32386;top:3619;width:3619;height:3619" coordsize="21600,21600" o:spt="100" adj="0,,0" path="" filled="f">
              <v:stroke joinstyle="round"/>
              <v:imagedata r:id="rId10" o:title="image5"/>
              <v:formulas/>
              <v:path o:connecttype="segments"/>
            </v:shape>
            <w10:wrap type="none"/>
            <w10:anchorlock/>
          </v:group>
        </w:pict>
      </w:r>
    </w:p>
    <w:p w:rsidR="0096233C" w:rsidRPr="00036034" w:rsidRDefault="0096233C">
      <w:pPr>
        <w:spacing w:after="16"/>
        <w:ind w:left="58"/>
        <w:jc w:val="center"/>
        <w:rPr>
          <w:rFonts w:asciiTheme="minorHAnsi" w:hAnsiTheme="minorHAnsi" w:cstheme="minorHAnsi"/>
        </w:rPr>
      </w:pPr>
    </w:p>
    <w:p w:rsidR="0096233C" w:rsidRPr="00036034" w:rsidRDefault="002A0312">
      <w:pPr>
        <w:spacing w:after="135"/>
        <w:ind w:right="3"/>
        <w:jc w:val="center"/>
        <w:rPr>
          <w:rFonts w:asciiTheme="minorHAnsi" w:hAnsiTheme="minorHAnsi" w:cstheme="minorHAnsi"/>
        </w:rPr>
      </w:pPr>
      <w:r w:rsidRPr="00036034">
        <w:rPr>
          <w:rFonts w:asciiTheme="minorHAnsi" w:eastAsia="Times New Roman" w:hAnsiTheme="minorHAnsi" w:cstheme="minorHAnsi"/>
          <w:b/>
          <w:sz w:val="24"/>
        </w:rPr>
        <w:t xml:space="preserve">z poverenia </w:t>
      </w:r>
      <w:r w:rsidR="00D46E97" w:rsidRPr="00036034">
        <w:rPr>
          <w:rFonts w:asciiTheme="minorHAnsi" w:eastAsia="Times New Roman" w:hAnsiTheme="minorHAnsi" w:cstheme="minorHAnsi"/>
          <w:b/>
          <w:sz w:val="24"/>
        </w:rPr>
        <w:t xml:space="preserve">Medzinárodnej šachovej akadémie </w:t>
      </w:r>
      <w:proofErr w:type="spellStart"/>
      <w:r w:rsidR="00D46E97" w:rsidRPr="00036034">
        <w:rPr>
          <w:rFonts w:asciiTheme="minorHAnsi" w:eastAsia="Times New Roman" w:hAnsiTheme="minorHAnsi" w:cstheme="minorHAnsi"/>
          <w:b/>
          <w:sz w:val="24"/>
        </w:rPr>
        <w:t>Interchess</w:t>
      </w:r>
      <w:proofErr w:type="spellEnd"/>
      <w:r w:rsidRPr="00036034">
        <w:rPr>
          <w:rFonts w:asciiTheme="minorHAnsi" w:eastAsia="Times New Roman" w:hAnsiTheme="minorHAnsi" w:cstheme="minorHAnsi"/>
          <w:b/>
          <w:sz w:val="24"/>
        </w:rPr>
        <w:t xml:space="preserve"> usporiada dň</w:t>
      </w:r>
      <w:r w:rsidR="00D46E97" w:rsidRPr="00036034">
        <w:rPr>
          <w:rFonts w:asciiTheme="minorHAnsi" w:eastAsia="Times New Roman" w:hAnsiTheme="minorHAnsi" w:cstheme="minorHAnsi"/>
          <w:b/>
          <w:sz w:val="24"/>
        </w:rPr>
        <w:t>a</w:t>
      </w:r>
      <w:r w:rsidRPr="00036034">
        <w:rPr>
          <w:rFonts w:asciiTheme="minorHAnsi" w:eastAsia="Times New Roman" w:hAnsiTheme="minorHAnsi" w:cstheme="minorHAnsi"/>
          <w:b/>
          <w:sz w:val="24"/>
        </w:rPr>
        <w:t xml:space="preserve">  </w:t>
      </w:r>
    </w:p>
    <w:p w:rsidR="0096233C" w:rsidRPr="00036034" w:rsidRDefault="00D46E97" w:rsidP="00FC6305">
      <w:pPr>
        <w:pStyle w:val="Nadpis1"/>
        <w:numPr>
          <w:ilvl w:val="0"/>
          <w:numId w:val="0"/>
        </w:numPr>
        <w:rPr>
          <w:rFonts w:asciiTheme="minorHAnsi" w:hAnsiTheme="minorHAnsi" w:cstheme="minorHAnsi"/>
        </w:rPr>
      </w:pPr>
      <w:r w:rsidRPr="00036034">
        <w:rPr>
          <w:rFonts w:asciiTheme="minorHAnsi" w:hAnsiTheme="minorHAnsi" w:cstheme="minorHAnsi"/>
        </w:rPr>
        <w:t>10. júna 2023</w:t>
      </w:r>
    </w:p>
    <w:p w:rsidR="0096233C" w:rsidRPr="00036034" w:rsidRDefault="0096233C">
      <w:pPr>
        <w:spacing w:after="347"/>
        <w:ind w:left="4249"/>
        <w:rPr>
          <w:rFonts w:asciiTheme="minorHAnsi" w:hAnsiTheme="minorHAnsi" w:cstheme="minorHAnsi"/>
        </w:rPr>
      </w:pPr>
    </w:p>
    <w:p w:rsidR="00D46E97" w:rsidRPr="00036034" w:rsidRDefault="00D46E97">
      <w:pPr>
        <w:spacing w:after="0" w:line="268" w:lineRule="auto"/>
        <w:ind w:left="172"/>
        <w:jc w:val="center"/>
        <w:rPr>
          <w:rFonts w:asciiTheme="minorHAnsi" w:eastAsia="Times New Roman" w:hAnsiTheme="minorHAnsi" w:cstheme="minorHAnsi"/>
          <w:sz w:val="44"/>
        </w:rPr>
      </w:pPr>
      <w:r w:rsidRPr="00036034">
        <w:rPr>
          <w:rFonts w:asciiTheme="minorHAnsi" w:eastAsia="Times New Roman" w:hAnsiTheme="minorHAnsi" w:cstheme="minorHAnsi"/>
          <w:sz w:val="48"/>
        </w:rPr>
        <w:t>Semifinálové turnaje GPX 2022/23 región STRED</w:t>
      </w:r>
      <w:r w:rsidR="002A0312" w:rsidRPr="00036034">
        <w:rPr>
          <w:rFonts w:asciiTheme="minorHAnsi" w:eastAsia="Times New Roman" w:hAnsiTheme="minorHAnsi" w:cstheme="minorHAnsi"/>
          <w:sz w:val="44"/>
        </w:rPr>
        <w:t xml:space="preserve"> </w:t>
      </w:r>
    </w:p>
    <w:p w:rsidR="0096233C" w:rsidRPr="00036034" w:rsidRDefault="002A0312">
      <w:pPr>
        <w:spacing w:after="0" w:line="268" w:lineRule="auto"/>
        <w:ind w:left="172"/>
        <w:jc w:val="center"/>
        <w:rPr>
          <w:rFonts w:asciiTheme="minorHAnsi" w:hAnsiTheme="minorHAnsi" w:cstheme="minorHAnsi"/>
        </w:rPr>
      </w:pPr>
      <w:r w:rsidRPr="00036034">
        <w:rPr>
          <w:rFonts w:asciiTheme="minorHAnsi" w:eastAsia="Times New Roman" w:hAnsiTheme="minorHAnsi" w:cstheme="minorHAnsi"/>
          <w:sz w:val="44"/>
        </w:rPr>
        <w:t xml:space="preserve">v kategóriách  </w:t>
      </w:r>
    </w:p>
    <w:p w:rsidR="0096233C" w:rsidRPr="00036034" w:rsidRDefault="002A0312" w:rsidP="00D46E97">
      <w:pPr>
        <w:spacing w:after="0"/>
        <w:jc w:val="center"/>
        <w:rPr>
          <w:rFonts w:asciiTheme="minorHAnsi" w:hAnsiTheme="minorHAnsi" w:cstheme="minorHAnsi"/>
        </w:rPr>
      </w:pPr>
      <w:r w:rsidRPr="00036034">
        <w:rPr>
          <w:rFonts w:asciiTheme="minorHAnsi" w:eastAsia="Times New Roman" w:hAnsiTheme="minorHAnsi" w:cstheme="minorHAnsi"/>
          <w:sz w:val="44"/>
        </w:rPr>
        <w:t xml:space="preserve">do 8, </w:t>
      </w:r>
      <w:r w:rsidR="00D46E97" w:rsidRPr="00036034">
        <w:rPr>
          <w:rFonts w:asciiTheme="minorHAnsi" w:eastAsia="Times New Roman" w:hAnsiTheme="minorHAnsi" w:cstheme="minorHAnsi"/>
          <w:sz w:val="44"/>
        </w:rPr>
        <w:t>11 a </w:t>
      </w:r>
      <w:r w:rsidRPr="00036034">
        <w:rPr>
          <w:rFonts w:asciiTheme="minorHAnsi" w:eastAsia="Times New Roman" w:hAnsiTheme="minorHAnsi" w:cstheme="minorHAnsi"/>
          <w:sz w:val="44"/>
        </w:rPr>
        <w:t>14</w:t>
      </w:r>
      <w:r w:rsidR="00D46E97" w:rsidRPr="00036034">
        <w:rPr>
          <w:rFonts w:asciiTheme="minorHAnsi" w:eastAsia="Times New Roman" w:hAnsiTheme="minorHAnsi" w:cstheme="minorHAnsi"/>
          <w:sz w:val="44"/>
        </w:rPr>
        <w:t xml:space="preserve"> </w:t>
      </w:r>
      <w:r w:rsidRPr="00036034">
        <w:rPr>
          <w:rFonts w:asciiTheme="minorHAnsi" w:eastAsia="Times New Roman" w:hAnsiTheme="minorHAnsi" w:cstheme="minorHAnsi"/>
          <w:sz w:val="44"/>
        </w:rPr>
        <w:t>rokov</w:t>
      </w:r>
    </w:p>
    <w:p w:rsidR="0096233C" w:rsidRDefault="0096233C" w:rsidP="00D46E97">
      <w:pPr>
        <w:spacing w:after="0"/>
        <w:jc w:val="center"/>
      </w:pPr>
    </w:p>
    <w:p w:rsidR="00FC6305" w:rsidRPr="001079A1" w:rsidRDefault="002A0312">
      <w:pPr>
        <w:spacing w:after="5" w:line="270" w:lineRule="auto"/>
        <w:ind w:left="-5" w:right="325" w:hanging="10"/>
        <w:rPr>
          <w:rFonts w:asciiTheme="minorHAnsi" w:eastAsia="Times New Roman" w:hAnsiTheme="minorHAnsi" w:cstheme="minorHAnsi"/>
        </w:rPr>
      </w:pPr>
      <w:r w:rsidRPr="0044638B">
        <w:rPr>
          <w:rFonts w:asciiTheme="minorHAnsi" w:eastAsia="Times New Roman" w:hAnsiTheme="minorHAnsi" w:cstheme="minorHAnsi"/>
          <w:b/>
        </w:rPr>
        <w:t>Miesto konania:</w:t>
      </w:r>
      <w:r w:rsidRPr="001079A1">
        <w:rPr>
          <w:rFonts w:asciiTheme="minorHAnsi" w:eastAsia="Times New Roman" w:hAnsiTheme="minorHAnsi" w:cstheme="minorHAnsi"/>
        </w:rPr>
        <w:t xml:space="preserve"> </w:t>
      </w:r>
      <w:r w:rsidRPr="001079A1">
        <w:rPr>
          <w:rFonts w:asciiTheme="minorHAnsi" w:eastAsia="Times New Roman" w:hAnsiTheme="minorHAnsi" w:cstheme="minorHAnsi"/>
        </w:rPr>
        <w:tab/>
      </w:r>
      <w:r w:rsidR="00D46E97" w:rsidRPr="001079A1">
        <w:rPr>
          <w:rFonts w:asciiTheme="minorHAnsi" w:hAnsiTheme="minorHAnsi" w:cstheme="minorHAnsi"/>
        </w:rPr>
        <w:t>CVČ Liptovský Mikuláš, Nábrežie Dr. A. Stodolu 1932 (</w:t>
      </w:r>
      <w:hyperlink r:id="rId11" w:history="1">
        <w:r w:rsidR="00D46E97" w:rsidRPr="001079A1">
          <w:rPr>
            <w:rStyle w:val="Hypertextovprepojenie"/>
            <w:rFonts w:asciiTheme="minorHAnsi" w:hAnsiTheme="minorHAnsi" w:cstheme="minorHAnsi"/>
          </w:rPr>
          <w:t>http://goo.gl/maps/Kze56</w:t>
        </w:r>
      </w:hyperlink>
      <w:r w:rsidR="00D46E97" w:rsidRPr="001079A1">
        <w:rPr>
          <w:rFonts w:asciiTheme="minorHAnsi" w:hAnsiTheme="minorHAnsi" w:cstheme="minorHAnsi"/>
        </w:rPr>
        <w:t>)</w:t>
      </w:r>
    </w:p>
    <w:p w:rsidR="00A811BE" w:rsidRDefault="00A811BE">
      <w:pPr>
        <w:spacing w:after="5" w:line="270" w:lineRule="auto"/>
        <w:ind w:left="-5" w:right="325" w:hanging="1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Riaditeľ turnaja:</w:t>
      </w:r>
      <w:r>
        <w:rPr>
          <w:rFonts w:asciiTheme="minorHAnsi" w:eastAsia="Times New Roman" w:hAnsiTheme="minorHAnsi" w:cstheme="minorHAnsi"/>
          <w:b/>
        </w:rPr>
        <w:tab/>
        <w:t>PhDr. Roman Králik, riaditeľ CVČ Liptovský Mikuláš</w:t>
      </w:r>
    </w:p>
    <w:p w:rsidR="0096233C" w:rsidRPr="001079A1" w:rsidRDefault="00A811BE">
      <w:pPr>
        <w:spacing w:after="5" w:line="270" w:lineRule="auto"/>
        <w:ind w:left="-5" w:right="325" w:hanging="10"/>
        <w:rPr>
          <w:rFonts w:asciiTheme="minorHAnsi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  <w:b/>
        </w:rPr>
        <w:t>Org</w:t>
      </w:r>
      <w:proofErr w:type="spellEnd"/>
      <w:r>
        <w:rPr>
          <w:rFonts w:asciiTheme="minorHAnsi" w:eastAsia="Times New Roman" w:hAnsiTheme="minorHAnsi" w:cstheme="minorHAnsi"/>
          <w:b/>
        </w:rPr>
        <w:t>. zabezpečenie</w:t>
      </w:r>
      <w:r w:rsidR="002A0312" w:rsidRPr="0044638B">
        <w:rPr>
          <w:rFonts w:asciiTheme="minorHAnsi" w:eastAsia="Times New Roman" w:hAnsiTheme="minorHAnsi" w:cstheme="minorHAnsi"/>
          <w:b/>
        </w:rPr>
        <w:t>:</w:t>
      </w:r>
      <w:r w:rsidR="002A0312" w:rsidRPr="001079A1">
        <w:rPr>
          <w:rFonts w:asciiTheme="minorHAnsi" w:eastAsia="Times New Roman" w:hAnsiTheme="minorHAnsi" w:cstheme="minorHAnsi"/>
        </w:rPr>
        <w:tab/>
      </w:r>
      <w:r w:rsidR="002A0312" w:rsidRPr="001079A1">
        <w:rPr>
          <w:rFonts w:asciiTheme="minorHAnsi" w:eastAsia="Times New Roman" w:hAnsiTheme="minorHAnsi" w:cstheme="minorHAnsi"/>
          <w:b/>
        </w:rPr>
        <w:t>Ing. Juraj Ivan</w:t>
      </w:r>
      <w:r w:rsidR="002A0312" w:rsidRPr="001079A1">
        <w:rPr>
          <w:rFonts w:asciiTheme="minorHAnsi" w:eastAsia="Times New Roman" w:hAnsiTheme="minorHAnsi" w:cstheme="minorHAnsi"/>
        </w:rPr>
        <w:t xml:space="preserve">, tel.: +421/905701671 e-mail: </w:t>
      </w:r>
      <w:hyperlink r:id="rId12" w:history="1">
        <w:r w:rsidR="00A655FD" w:rsidRPr="001079A1">
          <w:rPr>
            <w:rStyle w:val="Hypertextovprepojenie"/>
            <w:rFonts w:asciiTheme="minorHAnsi" w:eastAsia="Times New Roman" w:hAnsiTheme="minorHAnsi" w:cstheme="minorHAnsi"/>
            <w:b/>
            <w:u w:color="0000FF"/>
          </w:rPr>
          <w:t>juraj.ivanlm</w:t>
        </w:r>
        <w:r w:rsidR="00A655FD" w:rsidRPr="001079A1">
          <w:rPr>
            <w:rStyle w:val="Hypertextovprepojenie"/>
            <w:rFonts w:asciiTheme="minorHAnsi" w:eastAsia="Times New Roman" w:hAnsiTheme="minorHAnsi" w:cstheme="minorHAnsi"/>
            <w:b/>
          </w:rPr>
          <w:t>@gmail.com</w:t>
        </w:r>
      </w:hyperlink>
      <w:r w:rsidR="00D46E97" w:rsidRPr="001079A1">
        <w:rPr>
          <w:rFonts w:asciiTheme="minorHAnsi" w:eastAsia="Times New Roman" w:hAnsiTheme="minorHAnsi" w:cstheme="minorHAnsi"/>
          <w:b/>
          <w:color w:val="FF0000"/>
        </w:rPr>
        <w:t xml:space="preserve"> </w:t>
      </w:r>
    </w:p>
    <w:p w:rsidR="0096233C" w:rsidRPr="001079A1" w:rsidRDefault="002A0312">
      <w:pPr>
        <w:tabs>
          <w:tab w:val="center" w:pos="5142"/>
        </w:tabs>
        <w:spacing w:after="0"/>
        <w:rPr>
          <w:rFonts w:asciiTheme="minorHAnsi" w:hAnsiTheme="minorHAnsi" w:cstheme="minorHAnsi"/>
        </w:rPr>
      </w:pPr>
      <w:r w:rsidRPr="001079A1">
        <w:rPr>
          <w:rFonts w:asciiTheme="minorHAnsi" w:eastAsia="Times New Roman" w:hAnsiTheme="minorHAnsi" w:cstheme="minorHAnsi"/>
        </w:rPr>
        <w:tab/>
      </w:r>
    </w:p>
    <w:p w:rsidR="0096233C" w:rsidRPr="001079A1" w:rsidRDefault="00D46E97">
      <w:pPr>
        <w:spacing w:after="0"/>
        <w:rPr>
          <w:rFonts w:asciiTheme="minorHAnsi" w:hAnsiTheme="minorHAnsi" w:cstheme="minorHAnsi"/>
          <w:b/>
        </w:rPr>
      </w:pPr>
      <w:r w:rsidRPr="0044638B">
        <w:rPr>
          <w:rFonts w:asciiTheme="minorHAnsi" w:eastAsia="Times New Roman" w:hAnsiTheme="minorHAnsi" w:cstheme="minorHAnsi"/>
          <w:b/>
        </w:rPr>
        <w:t>Informácie</w:t>
      </w:r>
      <w:r w:rsidR="002A0312" w:rsidRPr="0044638B">
        <w:rPr>
          <w:rFonts w:asciiTheme="minorHAnsi" w:eastAsia="Times New Roman" w:hAnsiTheme="minorHAnsi" w:cstheme="minorHAnsi"/>
          <w:b/>
        </w:rPr>
        <w:t>:</w:t>
      </w:r>
      <w:r w:rsidRPr="001079A1">
        <w:rPr>
          <w:rFonts w:asciiTheme="minorHAnsi" w:eastAsia="Times New Roman" w:hAnsiTheme="minorHAnsi" w:cstheme="minorHAnsi"/>
        </w:rPr>
        <w:tab/>
      </w:r>
      <w:r w:rsidRPr="001079A1">
        <w:rPr>
          <w:rFonts w:asciiTheme="minorHAnsi" w:eastAsia="Times New Roman" w:hAnsiTheme="minorHAnsi" w:cstheme="minorHAnsi"/>
        </w:rPr>
        <w:tab/>
      </w:r>
      <w:hyperlink r:id="rId13" w:history="1">
        <w:r w:rsidRPr="001079A1">
          <w:rPr>
            <w:rStyle w:val="Hypertextovprepojenie"/>
            <w:rFonts w:asciiTheme="minorHAnsi" w:eastAsia="Times New Roman" w:hAnsiTheme="minorHAnsi" w:cstheme="minorHAnsi"/>
            <w:b/>
            <w:u w:color="0000FF"/>
          </w:rPr>
          <w:t>http://www.lss.csweb.sk</w:t>
        </w:r>
      </w:hyperlink>
      <w:hyperlink r:id="rId14">
        <w:r w:rsidR="002A0312" w:rsidRPr="001079A1">
          <w:rPr>
            <w:rFonts w:asciiTheme="minorHAnsi" w:eastAsia="Times New Roman" w:hAnsiTheme="minorHAnsi" w:cstheme="minorHAnsi"/>
            <w:b/>
          </w:rPr>
          <w:t>,</w:t>
        </w:r>
      </w:hyperlink>
      <w:r w:rsidRPr="001079A1">
        <w:rPr>
          <w:rFonts w:asciiTheme="minorHAnsi" w:hAnsiTheme="minorHAnsi" w:cstheme="minorHAnsi"/>
          <w:b/>
        </w:rPr>
        <w:t xml:space="preserve"> </w:t>
      </w:r>
      <w:hyperlink r:id="rId15"/>
      <w:hyperlink r:id="rId16" w:history="1">
        <w:r w:rsidR="00C142CF" w:rsidRPr="00BA59D7">
          <w:rPr>
            <w:rStyle w:val="Hypertextovprepojenie"/>
            <w:rFonts w:asciiTheme="minorHAnsi" w:eastAsia="Times New Roman" w:hAnsiTheme="minorHAnsi" w:cstheme="minorHAnsi"/>
            <w:b/>
            <w:u w:color="0000FF"/>
          </w:rPr>
          <w:t>http://www.chess.sk</w:t>
        </w:r>
      </w:hyperlink>
      <w:r w:rsidR="00C142CF">
        <w:rPr>
          <w:rFonts w:asciiTheme="minorHAnsi" w:eastAsia="Times New Roman" w:hAnsiTheme="minorHAnsi" w:cstheme="minorHAnsi"/>
          <w:b/>
          <w:color w:val="auto"/>
          <w:u w:val="single" w:color="0000FF"/>
        </w:rPr>
        <w:t>,</w:t>
      </w:r>
      <w:r w:rsidRPr="001079A1">
        <w:rPr>
          <w:rFonts w:asciiTheme="minorHAnsi" w:hAnsiTheme="minorHAnsi" w:cstheme="minorHAnsi"/>
          <w:b/>
        </w:rPr>
        <w:t xml:space="preserve"> </w:t>
      </w:r>
      <w:hyperlink r:id="rId17" w:history="1">
        <w:r w:rsidRPr="001079A1">
          <w:rPr>
            <w:rStyle w:val="Hypertextovprepojenie"/>
            <w:rFonts w:asciiTheme="minorHAnsi" w:hAnsiTheme="minorHAnsi" w:cstheme="minorHAnsi"/>
            <w:b/>
          </w:rPr>
          <w:t>https://gpx.jogo.sk/</w:t>
        </w:r>
      </w:hyperlink>
      <w:r w:rsidRPr="001079A1">
        <w:rPr>
          <w:rFonts w:asciiTheme="minorHAnsi" w:hAnsiTheme="minorHAnsi" w:cstheme="minorHAnsi"/>
          <w:b/>
        </w:rPr>
        <w:t xml:space="preserve"> </w:t>
      </w:r>
      <w:hyperlink r:id="rId18"/>
    </w:p>
    <w:p w:rsidR="00A655FD" w:rsidRPr="001079A1" w:rsidRDefault="00A655FD">
      <w:pPr>
        <w:spacing w:after="0"/>
        <w:rPr>
          <w:rFonts w:asciiTheme="minorHAnsi" w:hAnsiTheme="minorHAnsi" w:cstheme="minorHAnsi"/>
          <w:b/>
        </w:rPr>
      </w:pPr>
    </w:p>
    <w:p w:rsidR="00A655FD" w:rsidRDefault="00A655FD">
      <w:pPr>
        <w:spacing w:after="0"/>
        <w:rPr>
          <w:rFonts w:asciiTheme="minorHAnsi" w:hAnsiTheme="minorHAnsi" w:cstheme="minorHAnsi"/>
        </w:rPr>
      </w:pPr>
      <w:r w:rsidRPr="0044638B">
        <w:rPr>
          <w:rFonts w:asciiTheme="minorHAnsi" w:hAnsiTheme="minorHAnsi" w:cstheme="minorHAnsi"/>
          <w:b/>
        </w:rPr>
        <w:t>Hlavný rozhodca:</w:t>
      </w:r>
      <w:r w:rsidRPr="001079A1">
        <w:rPr>
          <w:rFonts w:asciiTheme="minorHAnsi" w:hAnsiTheme="minorHAnsi" w:cstheme="minorHAnsi"/>
        </w:rPr>
        <w:tab/>
        <w:t xml:space="preserve">IA Karol Pekár, tel.: +421/951485150 e-mail: </w:t>
      </w:r>
      <w:hyperlink r:id="rId19" w:history="1">
        <w:r w:rsidRPr="001079A1">
          <w:rPr>
            <w:rStyle w:val="Hypertextovprepojenie"/>
            <w:rFonts w:asciiTheme="minorHAnsi" w:hAnsiTheme="minorHAnsi" w:cstheme="minorHAnsi"/>
            <w:b/>
          </w:rPr>
          <w:t>pekar.karol@imafex.sk</w:t>
        </w:r>
      </w:hyperlink>
      <w:r w:rsidRPr="00EE7003">
        <w:rPr>
          <w:rFonts w:asciiTheme="minorHAnsi" w:hAnsiTheme="minorHAnsi" w:cstheme="minorHAnsi"/>
        </w:rPr>
        <w:t xml:space="preserve"> </w:t>
      </w:r>
    </w:p>
    <w:p w:rsidR="0044638B" w:rsidRDefault="0044638B">
      <w:pPr>
        <w:spacing w:after="0"/>
        <w:rPr>
          <w:rFonts w:asciiTheme="minorHAnsi" w:hAnsiTheme="minorHAnsi" w:cstheme="minorHAnsi"/>
        </w:rPr>
      </w:pPr>
      <w:r w:rsidRPr="0044638B">
        <w:rPr>
          <w:rFonts w:asciiTheme="minorHAnsi" w:hAnsiTheme="minorHAnsi" w:cstheme="minorHAnsi"/>
          <w:b/>
        </w:rPr>
        <w:t>Rozhodcovia: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Juraj Ivan, Svätopluk </w:t>
      </w:r>
      <w:proofErr w:type="spellStart"/>
      <w:r>
        <w:rPr>
          <w:rFonts w:asciiTheme="minorHAnsi" w:hAnsiTheme="minorHAnsi" w:cstheme="minorHAnsi"/>
        </w:rPr>
        <w:t>Hoferek</w:t>
      </w:r>
      <w:proofErr w:type="spellEnd"/>
      <w:r>
        <w:rPr>
          <w:rFonts w:asciiTheme="minorHAnsi" w:hAnsiTheme="minorHAnsi" w:cstheme="minorHAnsi"/>
        </w:rPr>
        <w:t>, Ondrej Holík</w:t>
      </w:r>
    </w:p>
    <w:p w:rsidR="0044638B" w:rsidRPr="00EE7003" w:rsidRDefault="0044638B">
      <w:pPr>
        <w:spacing w:after="0"/>
        <w:rPr>
          <w:rFonts w:asciiTheme="minorHAnsi" w:hAnsiTheme="minorHAnsi" w:cstheme="minorHAnsi"/>
        </w:rPr>
      </w:pPr>
      <w:proofErr w:type="spellStart"/>
      <w:r w:rsidRPr="0044638B">
        <w:rPr>
          <w:rFonts w:asciiTheme="minorHAnsi" w:hAnsiTheme="minorHAnsi" w:cstheme="minorHAnsi"/>
          <w:b/>
        </w:rPr>
        <w:t>Online</w:t>
      </w:r>
      <w:proofErr w:type="spellEnd"/>
      <w:r w:rsidRPr="0044638B">
        <w:rPr>
          <w:rFonts w:asciiTheme="minorHAnsi" w:hAnsiTheme="minorHAnsi" w:cstheme="minorHAnsi"/>
          <w:b/>
        </w:rPr>
        <w:t xml:space="preserve"> prenos: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Silvia Procházková</w:t>
      </w:r>
    </w:p>
    <w:p w:rsidR="00A655FD" w:rsidRDefault="00A65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5FD" w:rsidRPr="00CD746C" w:rsidRDefault="00A655FD" w:rsidP="00A655FD">
      <w:pPr>
        <w:spacing w:line="240" w:lineRule="auto"/>
        <w:jc w:val="both"/>
        <w:rPr>
          <w:rFonts w:asciiTheme="minorHAnsi" w:hAnsiTheme="minorHAnsi" w:cstheme="minorHAnsi"/>
        </w:rPr>
      </w:pPr>
      <w:r w:rsidRPr="00CD746C">
        <w:rPr>
          <w:rFonts w:asciiTheme="minorHAnsi" w:hAnsiTheme="minorHAnsi" w:cstheme="minorHAnsi"/>
          <w:b/>
          <w:iCs/>
        </w:rPr>
        <w:t>Právo účasti:</w:t>
      </w:r>
      <w:r w:rsidRPr="00CD746C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D</w:t>
      </w:r>
      <w:r w:rsidRPr="00CD746C">
        <w:rPr>
          <w:rFonts w:asciiTheme="minorHAnsi" w:hAnsiTheme="minorHAnsi" w:cstheme="minorHAnsi"/>
        </w:rPr>
        <w:t>08</w:t>
      </w:r>
      <w:r w:rsidRPr="00CD746C">
        <w:rPr>
          <w:rFonts w:asciiTheme="minorHAnsi" w:hAnsiTheme="minorHAnsi" w:cstheme="minorHAnsi"/>
        </w:rPr>
        <w:tab/>
        <w:t>– dievčatá narodené</w:t>
      </w:r>
      <w:r w:rsidRPr="00CD746C">
        <w:rPr>
          <w:rFonts w:asciiTheme="minorHAnsi" w:hAnsiTheme="minorHAnsi" w:cstheme="minorHAnsi"/>
        </w:rPr>
        <w:tab/>
        <w:t>od  1. 1. 2015  a neskôr</w:t>
      </w:r>
    </w:p>
    <w:p w:rsidR="00A655FD" w:rsidRPr="00CD746C" w:rsidRDefault="00A655FD" w:rsidP="00A655FD">
      <w:pPr>
        <w:spacing w:line="240" w:lineRule="auto"/>
        <w:jc w:val="both"/>
        <w:rPr>
          <w:rFonts w:asciiTheme="minorHAnsi" w:hAnsiTheme="minorHAnsi" w:cstheme="minorHAnsi"/>
        </w:rPr>
      </w:pPr>
      <w:r w:rsidRPr="00CD746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C</w:t>
      </w:r>
      <w:r w:rsidRPr="00CD746C">
        <w:rPr>
          <w:rFonts w:asciiTheme="minorHAnsi" w:hAnsiTheme="minorHAnsi" w:cstheme="minorHAnsi"/>
        </w:rPr>
        <w:t>08</w:t>
      </w:r>
      <w:r w:rsidRPr="00CD746C">
        <w:rPr>
          <w:rFonts w:asciiTheme="minorHAnsi" w:hAnsiTheme="minorHAnsi" w:cstheme="minorHAnsi"/>
        </w:rPr>
        <w:tab/>
        <w:t xml:space="preserve">– chlapci narodení    </w:t>
      </w:r>
      <w:r w:rsidRPr="00CD746C">
        <w:rPr>
          <w:rFonts w:asciiTheme="minorHAnsi" w:hAnsiTheme="minorHAnsi" w:cstheme="minorHAnsi"/>
        </w:rPr>
        <w:tab/>
        <w:t>od  1. 1. 2015  a</w:t>
      </w:r>
      <w:r w:rsidR="00DA3583">
        <w:rPr>
          <w:rFonts w:asciiTheme="minorHAnsi" w:hAnsiTheme="minorHAnsi" w:cstheme="minorHAnsi"/>
        </w:rPr>
        <w:t> </w:t>
      </w:r>
      <w:r w:rsidRPr="00CD746C">
        <w:rPr>
          <w:rFonts w:asciiTheme="minorHAnsi" w:hAnsiTheme="minorHAnsi" w:cstheme="minorHAnsi"/>
        </w:rPr>
        <w:t>neskôr</w:t>
      </w:r>
      <w:r w:rsidR="00DA3583">
        <w:rPr>
          <w:rFonts w:asciiTheme="minorHAnsi" w:hAnsiTheme="minorHAnsi" w:cstheme="minorHAnsi"/>
        </w:rPr>
        <w:t xml:space="preserve">   </w:t>
      </w:r>
    </w:p>
    <w:p w:rsidR="00A655FD" w:rsidRPr="00CD746C" w:rsidRDefault="00A655FD" w:rsidP="00A655FD">
      <w:pPr>
        <w:spacing w:line="240" w:lineRule="auto"/>
        <w:ind w:left="708" w:firstLine="708"/>
        <w:jc w:val="both"/>
        <w:rPr>
          <w:rFonts w:asciiTheme="minorHAnsi" w:hAnsiTheme="minorHAnsi" w:cstheme="minorHAnsi"/>
        </w:rPr>
      </w:pPr>
      <w:r w:rsidRPr="00CD746C">
        <w:rPr>
          <w:rFonts w:asciiTheme="minorHAnsi" w:hAnsiTheme="minorHAnsi" w:cstheme="minorHAnsi"/>
        </w:rPr>
        <w:t>D11</w:t>
      </w:r>
      <w:r w:rsidRPr="00CD746C">
        <w:rPr>
          <w:rFonts w:asciiTheme="minorHAnsi" w:hAnsiTheme="minorHAnsi" w:cstheme="minorHAnsi"/>
        </w:rPr>
        <w:tab/>
        <w:t xml:space="preserve">– dievčatá narodené </w:t>
      </w:r>
      <w:r w:rsidRPr="00CD746C">
        <w:rPr>
          <w:rFonts w:asciiTheme="minorHAnsi" w:hAnsiTheme="minorHAnsi" w:cstheme="minorHAnsi"/>
        </w:rPr>
        <w:tab/>
        <w:t>od  1. 1. 2012 do 31. 12. 2014</w:t>
      </w:r>
    </w:p>
    <w:p w:rsidR="00A655FD" w:rsidRDefault="00A655FD" w:rsidP="00A655FD">
      <w:pPr>
        <w:spacing w:line="240" w:lineRule="auto"/>
        <w:ind w:left="70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CD746C">
        <w:rPr>
          <w:rFonts w:asciiTheme="minorHAnsi" w:hAnsiTheme="minorHAnsi" w:cstheme="minorHAnsi"/>
        </w:rPr>
        <w:t>11</w:t>
      </w:r>
      <w:r w:rsidRPr="00CD746C">
        <w:rPr>
          <w:rFonts w:asciiTheme="minorHAnsi" w:hAnsiTheme="minorHAnsi" w:cstheme="minorHAnsi"/>
        </w:rPr>
        <w:tab/>
        <w:t>– chlapci narodení</w:t>
      </w:r>
      <w:r>
        <w:rPr>
          <w:rFonts w:asciiTheme="minorHAnsi" w:hAnsiTheme="minorHAnsi" w:cstheme="minorHAnsi"/>
        </w:rPr>
        <w:tab/>
      </w:r>
      <w:r w:rsidRPr="00CD746C">
        <w:rPr>
          <w:rFonts w:asciiTheme="minorHAnsi" w:hAnsiTheme="minorHAnsi" w:cstheme="minorHAnsi"/>
        </w:rPr>
        <w:t>od  1. 1. 2012  do 31. 12. 2014</w:t>
      </w:r>
    </w:p>
    <w:p w:rsidR="00A655FD" w:rsidRDefault="00A655FD" w:rsidP="00A655FD">
      <w:pPr>
        <w:spacing w:line="240" w:lineRule="auto"/>
        <w:ind w:left="70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D14</w:t>
      </w:r>
      <w:r>
        <w:rPr>
          <w:rFonts w:asciiTheme="minorHAnsi" w:hAnsiTheme="minorHAnsi" w:cstheme="minorHAnsi"/>
        </w:rPr>
        <w:tab/>
      </w:r>
      <w:r w:rsidR="00DA3583" w:rsidRPr="00CD746C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dievčatá narodené </w:t>
      </w:r>
      <w:r>
        <w:rPr>
          <w:rFonts w:asciiTheme="minorHAnsi" w:hAnsiTheme="minorHAnsi" w:cstheme="minorHAnsi"/>
        </w:rPr>
        <w:tab/>
        <w:t>od  1. 1. 2009 do 31. 12. 2011</w:t>
      </w:r>
    </w:p>
    <w:p w:rsidR="00A655FD" w:rsidRDefault="00A655FD" w:rsidP="00A655FD">
      <w:pPr>
        <w:spacing w:line="240" w:lineRule="auto"/>
        <w:ind w:left="708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C14</w:t>
      </w:r>
      <w:r>
        <w:rPr>
          <w:rFonts w:asciiTheme="minorHAnsi" w:hAnsiTheme="minorHAnsi" w:cstheme="minorHAnsi"/>
        </w:rPr>
        <w:tab/>
      </w:r>
      <w:r w:rsidR="00DA3583" w:rsidRPr="00CD746C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chlapci narodení</w:t>
      </w:r>
      <w:r>
        <w:rPr>
          <w:rFonts w:asciiTheme="minorHAnsi" w:hAnsiTheme="minorHAnsi" w:cstheme="minorHAnsi"/>
        </w:rPr>
        <w:tab/>
        <w:t>od  1. 1. 2009 do 31. 12. 2011</w:t>
      </w:r>
    </w:p>
    <w:p w:rsidR="00B710A1" w:rsidRDefault="00A655FD" w:rsidP="00036034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Účasť je garantovaná pre </w:t>
      </w:r>
      <w:r w:rsidRPr="0044638B">
        <w:rPr>
          <w:rFonts w:asciiTheme="minorHAnsi" w:hAnsiTheme="minorHAnsi" w:cstheme="minorHAnsi"/>
          <w:b/>
        </w:rPr>
        <w:t>prvých deviatich hráčov a</w:t>
      </w:r>
      <w:r w:rsidR="00B710A1" w:rsidRPr="0044638B">
        <w:rPr>
          <w:rFonts w:asciiTheme="minorHAnsi" w:hAnsiTheme="minorHAnsi" w:cstheme="minorHAnsi"/>
          <w:b/>
        </w:rPr>
        <w:t xml:space="preserve"> deväť </w:t>
      </w:r>
      <w:r w:rsidRPr="0044638B">
        <w:rPr>
          <w:rFonts w:asciiTheme="minorHAnsi" w:hAnsiTheme="minorHAnsi" w:cstheme="minorHAnsi"/>
          <w:b/>
        </w:rPr>
        <w:t>hráčok</w:t>
      </w:r>
      <w:r>
        <w:rPr>
          <w:rFonts w:asciiTheme="minorHAnsi" w:hAnsiTheme="minorHAnsi" w:cstheme="minorHAnsi"/>
        </w:rPr>
        <w:t xml:space="preserve"> v každej vypísanej kategórii </w:t>
      </w:r>
      <w:r w:rsidR="00B710A1">
        <w:rPr>
          <w:rFonts w:asciiTheme="minorHAnsi" w:hAnsiTheme="minorHAnsi" w:cstheme="minorHAnsi"/>
        </w:rPr>
        <w:t>podľa výsledko</w:t>
      </w:r>
      <w:r>
        <w:rPr>
          <w:rFonts w:asciiTheme="minorHAnsi" w:hAnsiTheme="minorHAnsi" w:cstheme="minorHAnsi"/>
        </w:rPr>
        <w:t xml:space="preserve">v základnej časti GPX v regióne STRED </w:t>
      </w:r>
    </w:p>
    <w:p w:rsidR="00A655FD" w:rsidRPr="00C142CF" w:rsidRDefault="007A0636" w:rsidP="00A655FD">
      <w:pPr>
        <w:spacing w:line="240" w:lineRule="auto"/>
        <w:jc w:val="both"/>
        <w:rPr>
          <w:rFonts w:asciiTheme="minorHAnsi" w:hAnsiTheme="minorHAnsi" w:cstheme="minorHAnsi"/>
          <w:b/>
        </w:rPr>
      </w:pPr>
      <w:hyperlink r:id="rId20" w:history="1">
        <w:r w:rsidR="00DA3583" w:rsidRPr="00C142CF">
          <w:rPr>
            <w:rStyle w:val="Hypertextovprepojenie"/>
            <w:rFonts w:asciiTheme="minorHAnsi" w:hAnsiTheme="minorHAnsi" w:cstheme="minorHAnsi"/>
            <w:b/>
          </w:rPr>
          <w:t>https://gpx.jogo.sk/standings_2022_2023.php?groupId=2&amp;category=0&amp;cis</w:t>
        </w:r>
      </w:hyperlink>
    </w:p>
    <w:p w:rsidR="00A655FD" w:rsidRPr="00CD746C" w:rsidRDefault="00DA3583" w:rsidP="00036034">
      <w:pPr>
        <w:spacing w:line="24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Podmienkou účasti pre hráčov s právom postupu (9 hráčov v kategórii) je prihláška prostredníctvom elektronického formuláru</w:t>
      </w:r>
      <w:r w:rsidR="00C142CF">
        <w:rPr>
          <w:rFonts w:asciiTheme="minorHAnsi" w:hAnsiTheme="minorHAnsi" w:cstheme="minorHAnsi"/>
        </w:rPr>
        <w:t xml:space="preserve"> </w:t>
      </w:r>
      <w:hyperlink r:id="rId21" w:history="1">
        <w:r w:rsidR="00C142CF" w:rsidRPr="00C142CF">
          <w:rPr>
            <w:rStyle w:val="Hypertextovprepojenie"/>
            <w:rFonts w:asciiTheme="minorHAnsi" w:hAnsiTheme="minorHAnsi" w:cstheme="minorHAnsi"/>
            <w:b/>
          </w:rPr>
          <w:t>https://forms.gle/o6bYaaReFX4TgBJR9</w:t>
        </w:r>
      </w:hyperlink>
      <w:r w:rsidR="00C142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najneskôr do 2.júna 2023 24:00 hod. Po tomto termíne bude otvorená možnosť prihl</w:t>
      </w:r>
      <w:r w:rsidR="00A811BE">
        <w:rPr>
          <w:rFonts w:asciiTheme="minorHAnsi" w:hAnsiTheme="minorHAnsi" w:cstheme="minorHAnsi"/>
        </w:rPr>
        <w:t>asovania náhradníkov a žiadateľov</w:t>
      </w:r>
      <w:r>
        <w:rPr>
          <w:rFonts w:asciiTheme="minorHAnsi" w:hAnsiTheme="minorHAnsi" w:cstheme="minorHAnsi"/>
        </w:rPr>
        <w:t xml:space="preserve"> o divokú kartu, ktorú prideľuje organizátor na dosiahnutie počtu 10 hráčov v kategórii. </w:t>
      </w:r>
    </w:p>
    <w:p w:rsidR="0044638B" w:rsidRDefault="0044638B" w:rsidP="00A655FD">
      <w:pPr>
        <w:spacing w:line="240" w:lineRule="exact"/>
        <w:ind w:left="1410" w:hanging="1410"/>
        <w:jc w:val="both"/>
        <w:rPr>
          <w:rFonts w:asciiTheme="minorHAnsi" w:hAnsiTheme="minorHAnsi" w:cstheme="minorHAnsi"/>
          <w:b/>
          <w:iCs/>
        </w:rPr>
      </w:pPr>
    </w:p>
    <w:p w:rsidR="00A655FD" w:rsidRDefault="00A655FD" w:rsidP="00A655FD">
      <w:pPr>
        <w:spacing w:line="240" w:lineRule="exact"/>
        <w:ind w:left="1410" w:hanging="1410"/>
        <w:jc w:val="both"/>
        <w:rPr>
          <w:rFonts w:asciiTheme="minorHAnsi" w:hAnsiTheme="minorHAnsi" w:cstheme="minorHAnsi"/>
        </w:rPr>
      </w:pPr>
      <w:r w:rsidRPr="00CD746C">
        <w:rPr>
          <w:rFonts w:asciiTheme="minorHAnsi" w:hAnsiTheme="minorHAnsi" w:cstheme="minorHAnsi"/>
          <w:b/>
          <w:iCs/>
        </w:rPr>
        <w:t>Systém hry:</w:t>
      </w:r>
      <w:r w:rsidRPr="00CD746C">
        <w:rPr>
          <w:rFonts w:asciiTheme="minorHAnsi" w:hAnsiTheme="minorHAnsi" w:cstheme="minorHAnsi"/>
          <w:b/>
          <w:i/>
        </w:rPr>
        <w:tab/>
      </w:r>
      <w:r w:rsidRPr="00CD746C">
        <w:rPr>
          <w:rFonts w:asciiTheme="minorHAnsi" w:hAnsiTheme="minorHAnsi" w:cstheme="minorHAnsi"/>
        </w:rPr>
        <w:t>Turnaj</w:t>
      </w:r>
      <w:r w:rsidR="00036034">
        <w:rPr>
          <w:rFonts w:asciiTheme="minorHAnsi" w:hAnsiTheme="minorHAnsi" w:cstheme="minorHAnsi"/>
        </w:rPr>
        <w:t>e sa hrajú systémom každý s každým</w:t>
      </w:r>
      <w:r w:rsidRPr="00CD746C">
        <w:rPr>
          <w:rFonts w:asciiTheme="minorHAnsi" w:hAnsiTheme="minorHAnsi" w:cstheme="minorHAnsi"/>
        </w:rPr>
        <w:t>, tempo hry 1</w:t>
      </w:r>
      <w:r w:rsidR="0003603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</w:t>
      </w:r>
      <w:r w:rsidRPr="00CD746C">
        <w:rPr>
          <w:rFonts w:asciiTheme="minorHAnsi" w:hAnsiTheme="minorHAnsi" w:cstheme="minorHAnsi"/>
        </w:rPr>
        <w:t>minút+</w:t>
      </w:r>
      <w:r w:rsidR="00036034">
        <w:rPr>
          <w:rFonts w:asciiTheme="minorHAnsi" w:hAnsiTheme="minorHAnsi" w:cstheme="minorHAnsi"/>
        </w:rPr>
        <w:t>3</w:t>
      </w:r>
      <w:r w:rsidRPr="00CD746C">
        <w:rPr>
          <w:rFonts w:asciiTheme="minorHAnsi" w:hAnsiTheme="minorHAnsi" w:cstheme="minorHAnsi"/>
        </w:rPr>
        <w:t xml:space="preserve"> sek</w:t>
      </w:r>
      <w:r w:rsidR="00036034">
        <w:rPr>
          <w:rFonts w:asciiTheme="minorHAnsi" w:hAnsiTheme="minorHAnsi" w:cstheme="minorHAnsi"/>
        </w:rPr>
        <w:t>u</w:t>
      </w:r>
      <w:r w:rsidRPr="00CD746C">
        <w:rPr>
          <w:rFonts w:asciiTheme="minorHAnsi" w:hAnsiTheme="minorHAnsi" w:cstheme="minorHAnsi"/>
        </w:rPr>
        <w:t>nd</w:t>
      </w:r>
      <w:r w:rsidR="00036034">
        <w:rPr>
          <w:rFonts w:asciiTheme="minorHAnsi" w:hAnsiTheme="minorHAnsi" w:cstheme="minorHAnsi"/>
        </w:rPr>
        <w:t xml:space="preserve">y na partiu pre jedného hráča podľa Pravidiel FIDE pre </w:t>
      </w:r>
      <w:proofErr w:type="spellStart"/>
      <w:r w:rsidR="00036034">
        <w:rPr>
          <w:rFonts w:asciiTheme="minorHAnsi" w:hAnsiTheme="minorHAnsi" w:cstheme="minorHAnsi"/>
        </w:rPr>
        <w:t>rapid</w:t>
      </w:r>
      <w:proofErr w:type="spellEnd"/>
      <w:r w:rsidR="00036034">
        <w:rPr>
          <w:rFonts w:asciiTheme="minorHAnsi" w:hAnsiTheme="minorHAnsi" w:cstheme="minorHAnsi"/>
        </w:rPr>
        <w:t xml:space="preserve"> šach.</w:t>
      </w:r>
      <w:r w:rsidRPr="00CD746C">
        <w:rPr>
          <w:rFonts w:asciiTheme="minorHAnsi" w:hAnsiTheme="minorHAnsi" w:cstheme="minorHAnsi"/>
        </w:rPr>
        <w:t xml:space="preserve"> O poradí v turnaji </w:t>
      </w:r>
      <w:r w:rsidR="00036034">
        <w:rPr>
          <w:rFonts w:asciiTheme="minorHAnsi" w:hAnsiTheme="minorHAnsi" w:cstheme="minorHAnsi"/>
        </w:rPr>
        <w:t xml:space="preserve">podľa Súťažného poriadku GPX </w:t>
      </w:r>
      <w:r w:rsidRPr="00CD746C">
        <w:rPr>
          <w:rFonts w:asciiTheme="minorHAnsi" w:hAnsiTheme="minorHAnsi" w:cstheme="minorHAnsi"/>
        </w:rPr>
        <w:lastRenderedPageBreak/>
        <w:t xml:space="preserve">rozhoduje počet bodov, </w:t>
      </w:r>
      <w:proofErr w:type="spellStart"/>
      <w:r w:rsidR="00036034">
        <w:rPr>
          <w:rFonts w:asciiTheme="minorHAnsi" w:hAnsiTheme="minorHAnsi" w:cstheme="minorHAnsi"/>
        </w:rPr>
        <w:t>Sonnenborn</w:t>
      </w:r>
      <w:proofErr w:type="spellEnd"/>
      <w:r w:rsidR="00036034">
        <w:rPr>
          <w:rFonts w:asciiTheme="minorHAnsi" w:hAnsiTheme="minorHAnsi" w:cstheme="minorHAnsi"/>
        </w:rPr>
        <w:t xml:space="preserve"> </w:t>
      </w:r>
      <w:proofErr w:type="spellStart"/>
      <w:r w:rsidR="00036034">
        <w:rPr>
          <w:rFonts w:asciiTheme="minorHAnsi" w:hAnsiTheme="minorHAnsi" w:cstheme="minorHAnsi"/>
        </w:rPr>
        <w:t>Berger</w:t>
      </w:r>
      <w:proofErr w:type="spellEnd"/>
      <w:r w:rsidR="00036034">
        <w:rPr>
          <w:rFonts w:asciiTheme="minorHAnsi" w:hAnsiTheme="minorHAnsi" w:cstheme="minorHAnsi"/>
        </w:rPr>
        <w:t xml:space="preserve"> systém a väčší počet výhier. V prípade rovnosti všetkých týchto kritérií pre určenie poradia na medailových miestach alebo </w:t>
      </w:r>
      <w:r w:rsidR="00932CA7">
        <w:rPr>
          <w:rFonts w:asciiTheme="minorHAnsi" w:hAnsiTheme="minorHAnsi" w:cstheme="minorHAnsi"/>
        </w:rPr>
        <w:t xml:space="preserve">pre určenie </w:t>
      </w:r>
      <w:r w:rsidR="00036034">
        <w:rPr>
          <w:rFonts w:asciiTheme="minorHAnsi" w:hAnsiTheme="minorHAnsi" w:cstheme="minorHAnsi"/>
        </w:rPr>
        <w:t>práva postupu do finále GPX sa uskutoční dodatkový turnaj resp. zápas v bleskovom šachu</w:t>
      </w:r>
      <w:r w:rsidRPr="00CD746C">
        <w:rPr>
          <w:rFonts w:asciiTheme="minorHAnsi" w:hAnsiTheme="minorHAnsi" w:cstheme="minorHAnsi"/>
        </w:rPr>
        <w:t>.</w:t>
      </w:r>
    </w:p>
    <w:p w:rsidR="0044638B" w:rsidRDefault="0044638B" w:rsidP="00A655FD">
      <w:pPr>
        <w:spacing w:line="240" w:lineRule="exact"/>
        <w:ind w:left="1410" w:hanging="1410"/>
        <w:jc w:val="both"/>
        <w:rPr>
          <w:rFonts w:asciiTheme="minorHAnsi" w:hAnsiTheme="minorHAnsi" w:cstheme="minorHAnsi"/>
        </w:rPr>
      </w:pPr>
      <w:r w:rsidRPr="0044638B">
        <w:rPr>
          <w:rFonts w:asciiTheme="minorHAnsi" w:hAnsiTheme="minorHAnsi" w:cstheme="minorHAnsi"/>
          <w:b/>
        </w:rPr>
        <w:t>Časový plán:</w:t>
      </w:r>
      <w:r>
        <w:rPr>
          <w:rFonts w:asciiTheme="minorHAnsi" w:hAnsiTheme="minorHAnsi" w:cstheme="minorHAnsi"/>
        </w:rPr>
        <w:tab/>
        <w:t>08:30 – 09:15</w:t>
      </w:r>
      <w:r>
        <w:rPr>
          <w:rFonts w:asciiTheme="minorHAnsi" w:hAnsiTheme="minorHAnsi" w:cstheme="minorHAnsi"/>
        </w:rPr>
        <w:tab/>
        <w:t>prezentácia</w:t>
      </w:r>
    </w:p>
    <w:p w:rsidR="0044638B" w:rsidRDefault="0044638B" w:rsidP="00A655FD">
      <w:pPr>
        <w:spacing w:line="240" w:lineRule="exact"/>
        <w:ind w:left="1410" w:hanging="1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09:15 – 09:30</w:t>
      </w:r>
      <w:r>
        <w:rPr>
          <w:rFonts w:asciiTheme="minorHAnsi" w:hAnsiTheme="minorHAnsi" w:cstheme="minorHAnsi"/>
        </w:rPr>
        <w:tab/>
        <w:t>otvorenie, vysvetlenie pravidiel, vyžrebovanie</w:t>
      </w:r>
    </w:p>
    <w:p w:rsidR="0044638B" w:rsidRDefault="0044638B" w:rsidP="00A655FD">
      <w:pPr>
        <w:spacing w:line="240" w:lineRule="exact"/>
        <w:ind w:left="1410" w:hanging="1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09:30 – 12:00</w:t>
      </w:r>
      <w:r>
        <w:rPr>
          <w:rFonts w:asciiTheme="minorHAnsi" w:hAnsiTheme="minorHAnsi" w:cstheme="minorHAnsi"/>
        </w:rPr>
        <w:tab/>
        <w:t>1. – 5.kolo súťaže</w:t>
      </w:r>
    </w:p>
    <w:p w:rsidR="0044638B" w:rsidRDefault="0044638B" w:rsidP="00A655FD">
      <w:pPr>
        <w:spacing w:line="240" w:lineRule="exact"/>
        <w:ind w:left="1410" w:hanging="1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12:00 – 12:45</w:t>
      </w:r>
      <w:r>
        <w:rPr>
          <w:rFonts w:asciiTheme="minorHAnsi" w:hAnsiTheme="minorHAnsi" w:cstheme="minorHAnsi"/>
        </w:rPr>
        <w:tab/>
        <w:t>prestávka na obed</w:t>
      </w:r>
    </w:p>
    <w:p w:rsidR="0044638B" w:rsidRDefault="0044638B" w:rsidP="00A655FD">
      <w:pPr>
        <w:spacing w:line="240" w:lineRule="exact"/>
        <w:ind w:left="1410" w:hanging="1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13:00 – 15:00</w:t>
      </w:r>
      <w:r>
        <w:rPr>
          <w:rFonts w:asciiTheme="minorHAnsi" w:hAnsiTheme="minorHAnsi" w:cstheme="minorHAnsi"/>
        </w:rPr>
        <w:tab/>
        <w:t>6. – 9.kolo súťaže</w:t>
      </w:r>
    </w:p>
    <w:p w:rsidR="0044638B" w:rsidRDefault="0044638B" w:rsidP="00A655FD">
      <w:pPr>
        <w:spacing w:line="240" w:lineRule="exact"/>
        <w:ind w:left="1410" w:hanging="1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15:00 – 15:30</w:t>
      </w:r>
      <w:r>
        <w:rPr>
          <w:rFonts w:asciiTheme="minorHAnsi" w:hAnsiTheme="minorHAnsi" w:cstheme="minorHAnsi"/>
        </w:rPr>
        <w:tab/>
        <w:t>Vyhodnotenie, záver</w:t>
      </w:r>
    </w:p>
    <w:p w:rsidR="0044638B" w:rsidRPr="00CD746C" w:rsidRDefault="0044638B" w:rsidP="00A655FD">
      <w:pPr>
        <w:spacing w:line="240" w:lineRule="exact"/>
        <w:ind w:left="1410" w:hanging="1410"/>
        <w:jc w:val="both"/>
        <w:rPr>
          <w:rFonts w:asciiTheme="minorHAnsi" w:hAnsiTheme="minorHAnsi" w:cstheme="minorHAnsi"/>
        </w:rPr>
      </w:pPr>
    </w:p>
    <w:p w:rsidR="00A655FD" w:rsidRPr="00CD746C" w:rsidRDefault="00A655FD" w:rsidP="00A655FD">
      <w:pPr>
        <w:spacing w:line="240" w:lineRule="exact"/>
        <w:ind w:left="1410" w:hanging="1410"/>
        <w:jc w:val="both"/>
        <w:rPr>
          <w:rFonts w:asciiTheme="minorHAnsi" w:hAnsiTheme="minorHAnsi" w:cstheme="minorHAnsi"/>
        </w:rPr>
      </w:pPr>
      <w:r w:rsidRPr="00CD746C">
        <w:rPr>
          <w:rFonts w:asciiTheme="minorHAnsi" w:hAnsiTheme="minorHAnsi" w:cstheme="minorHAnsi"/>
          <w:b/>
          <w:iCs/>
        </w:rPr>
        <w:t>Aplikácia Pravidiel FIDE:</w:t>
      </w:r>
      <w:r w:rsidRPr="00CD746C">
        <w:rPr>
          <w:rFonts w:asciiTheme="minorHAnsi" w:hAnsiTheme="minorHAnsi" w:cstheme="minorHAnsi"/>
          <w:b/>
          <w:i/>
        </w:rPr>
        <w:tab/>
      </w:r>
      <w:r w:rsidRPr="00CD746C">
        <w:rPr>
          <w:rFonts w:asciiTheme="minorHAnsi" w:hAnsiTheme="minorHAnsi" w:cstheme="minorHAnsi"/>
        </w:rPr>
        <w:t>Čakacia doba 1</w:t>
      </w:r>
      <w:r w:rsidR="00A811BE">
        <w:rPr>
          <w:rFonts w:asciiTheme="minorHAnsi" w:hAnsiTheme="minorHAnsi" w:cstheme="minorHAnsi"/>
        </w:rPr>
        <w:t>2</w:t>
      </w:r>
      <w:r w:rsidRPr="00CD746C">
        <w:rPr>
          <w:rFonts w:asciiTheme="minorHAnsi" w:hAnsiTheme="minorHAnsi" w:cstheme="minorHAnsi"/>
        </w:rPr>
        <w:t xml:space="preserve"> minút. Nie je obmedzenie ponuky a prijatia remízy.</w:t>
      </w:r>
      <w:r w:rsidR="00036034">
        <w:rPr>
          <w:rFonts w:asciiTheme="minorHAnsi" w:hAnsiTheme="minorHAnsi" w:cstheme="minorHAnsi"/>
        </w:rPr>
        <w:t xml:space="preserve"> </w:t>
      </w:r>
      <w:r w:rsidR="00932CA7">
        <w:rPr>
          <w:rFonts w:asciiTheme="minorHAnsi" w:hAnsiTheme="minorHAnsi" w:cstheme="minorHAnsi"/>
        </w:rPr>
        <w:t>Pri prvom neprípustnom ťahu sa pridáva 1 minúta súperovi, d</w:t>
      </w:r>
      <w:r w:rsidR="00036034">
        <w:rPr>
          <w:rFonts w:asciiTheme="minorHAnsi" w:hAnsiTheme="minorHAnsi" w:cstheme="minorHAnsi"/>
        </w:rPr>
        <w:t>ruhý neprípustný ťah hráča v partii prehráva</w:t>
      </w:r>
      <w:r w:rsidR="00932CA7">
        <w:rPr>
          <w:rFonts w:asciiTheme="minorHAnsi" w:hAnsiTheme="minorHAnsi" w:cstheme="minorHAnsi"/>
        </w:rPr>
        <w:t xml:space="preserve"> (resp. ukončuje partiu podľa článku 7.5.5 Pravidiel FIDE)</w:t>
      </w:r>
      <w:r w:rsidR="00036034">
        <w:rPr>
          <w:rFonts w:asciiTheme="minorHAnsi" w:hAnsiTheme="minorHAnsi" w:cstheme="minorHAnsi"/>
        </w:rPr>
        <w:t>.</w:t>
      </w:r>
      <w:r w:rsidRPr="00CD746C">
        <w:rPr>
          <w:rFonts w:asciiTheme="minorHAnsi" w:hAnsiTheme="minorHAnsi" w:cstheme="minorHAnsi"/>
        </w:rPr>
        <w:t xml:space="preserve"> Rozhodnutie rozhodcu je konečné. Vstup divákov do hracej miestnosti nie je obmedzený ale toto povolenie môže byť zrušené pri nedovolenom použití elektronických zariadení ako aj pri zásahu do prebiehajúcej partie. </w:t>
      </w:r>
    </w:p>
    <w:p w:rsidR="00A655FD" w:rsidRPr="00CD746C" w:rsidRDefault="00A655FD" w:rsidP="00A655FD">
      <w:pPr>
        <w:spacing w:line="240" w:lineRule="exact"/>
        <w:ind w:left="1410" w:hanging="1410"/>
        <w:jc w:val="both"/>
        <w:rPr>
          <w:rFonts w:asciiTheme="minorHAnsi" w:hAnsiTheme="minorHAnsi" w:cstheme="minorHAnsi"/>
          <w:bCs/>
        </w:rPr>
      </w:pPr>
      <w:r w:rsidRPr="00CD746C">
        <w:rPr>
          <w:rFonts w:asciiTheme="minorHAnsi" w:hAnsiTheme="minorHAnsi" w:cstheme="minorHAnsi"/>
          <w:b/>
          <w:iCs/>
        </w:rPr>
        <w:t>Štartovné:</w:t>
      </w:r>
      <w:r w:rsidRPr="00CD746C">
        <w:rPr>
          <w:rFonts w:asciiTheme="minorHAnsi" w:hAnsiTheme="minorHAnsi" w:cstheme="minorHAnsi"/>
          <w:b/>
          <w:i/>
        </w:rPr>
        <w:tab/>
      </w:r>
      <w:r w:rsidR="00B710A1">
        <w:rPr>
          <w:rFonts w:asciiTheme="minorHAnsi" w:hAnsiTheme="minorHAnsi" w:cstheme="minorHAnsi"/>
          <w:b/>
        </w:rPr>
        <w:t>0</w:t>
      </w:r>
      <w:r w:rsidRPr="00CD746C">
        <w:rPr>
          <w:rFonts w:asciiTheme="minorHAnsi" w:hAnsiTheme="minorHAnsi" w:cstheme="minorHAnsi"/>
          <w:b/>
        </w:rPr>
        <w:t>€.</w:t>
      </w:r>
    </w:p>
    <w:p w:rsidR="00932CA7" w:rsidRDefault="00A655FD" w:rsidP="00932CA7">
      <w:pPr>
        <w:ind w:left="1410" w:hanging="1410"/>
        <w:jc w:val="both"/>
        <w:rPr>
          <w:rFonts w:asciiTheme="minorHAnsi" w:hAnsiTheme="minorHAnsi" w:cstheme="minorHAnsi"/>
        </w:rPr>
      </w:pPr>
      <w:r w:rsidRPr="00CD746C">
        <w:rPr>
          <w:rFonts w:asciiTheme="minorHAnsi" w:hAnsiTheme="minorHAnsi" w:cstheme="minorHAnsi"/>
          <w:b/>
          <w:iCs/>
        </w:rPr>
        <w:t>Ceny:</w:t>
      </w:r>
      <w:r w:rsidRPr="00CD746C">
        <w:rPr>
          <w:rFonts w:asciiTheme="minorHAnsi" w:hAnsiTheme="minorHAnsi" w:cstheme="minorHAnsi"/>
          <w:bCs/>
          <w:iCs/>
        </w:rPr>
        <w:tab/>
      </w:r>
      <w:r w:rsidRPr="00CD746C">
        <w:rPr>
          <w:rFonts w:asciiTheme="minorHAnsi" w:hAnsiTheme="minorHAnsi" w:cstheme="minorHAnsi"/>
          <w:b/>
          <w:i/>
        </w:rPr>
        <w:tab/>
      </w:r>
      <w:r w:rsidR="00036034">
        <w:rPr>
          <w:rFonts w:asciiTheme="minorHAnsi" w:hAnsiTheme="minorHAnsi" w:cstheme="minorHAnsi"/>
        </w:rPr>
        <w:t xml:space="preserve">Víťaz každej kategórie bude odmenený trofejou, prví traja medailami a diplomami, všetci </w:t>
      </w:r>
      <w:r w:rsidR="00A811BE">
        <w:rPr>
          <w:rFonts w:asciiTheme="minorHAnsi" w:hAnsiTheme="minorHAnsi" w:cstheme="minorHAnsi"/>
        </w:rPr>
        <w:t xml:space="preserve">ostatní </w:t>
      </w:r>
      <w:r w:rsidR="00036034">
        <w:rPr>
          <w:rFonts w:asciiTheme="minorHAnsi" w:hAnsiTheme="minorHAnsi" w:cstheme="minorHAnsi"/>
        </w:rPr>
        <w:t xml:space="preserve">dostanú </w:t>
      </w:r>
      <w:r w:rsidR="00A811BE">
        <w:rPr>
          <w:rFonts w:asciiTheme="minorHAnsi" w:hAnsiTheme="minorHAnsi" w:cstheme="minorHAnsi"/>
        </w:rPr>
        <w:t>vecné</w:t>
      </w:r>
      <w:r w:rsidR="00036034">
        <w:rPr>
          <w:rFonts w:asciiTheme="minorHAnsi" w:hAnsiTheme="minorHAnsi" w:cstheme="minorHAnsi"/>
        </w:rPr>
        <w:t xml:space="preserve"> </w:t>
      </w:r>
      <w:r w:rsidR="00A811BE">
        <w:rPr>
          <w:rFonts w:asciiTheme="minorHAnsi" w:hAnsiTheme="minorHAnsi" w:cstheme="minorHAnsi"/>
        </w:rPr>
        <w:t xml:space="preserve"> </w:t>
      </w:r>
      <w:r w:rsidR="00036034">
        <w:rPr>
          <w:rFonts w:asciiTheme="minorHAnsi" w:hAnsiTheme="minorHAnsi" w:cstheme="minorHAnsi"/>
        </w:rPr>
        <w:t>ceny.</w:t>
      </w:r>
      <w:r w:rsidRPr="00CD746C">
        <w:rPr>
          <w:rFonts w:asciiTheme="minorHAnsi" w:hAnsiTheme="minorHAnsi" w:cstheme="minorHAnsi"/>
        </w:rPr>
        <w:t xml:space="preserve"> </w:t>
      </w:r>
    </w:p>
    <w:p w:rsidR="00A655FD" w:rsidRDefault="00932CA7" w:rsidP="00932CA7">
      <w:pPr>
        <w:ind w:left="1410" w:hanging="14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Cs/>
        </w:rPr>
        <w:t>Postup do finále:</w:t>
      </w:r>
      <w:r>
        <w:rPr>
          <w:rFonts w:asciiTheme="minorHAnsi" w:hAnsiTheme="minorHAnsi" w:cstheme="minorHAnsi"/>
        </w:rPr>
        <w:tab/>
        <w:t>Počet postupujúcich</w:t>
      </w:r>
      <w:r w:rsidR="00A811BE">
        <w:rPr>
          <w:rFonts w:asciiTheme="minorHAnsi" w:hAnsiTheme="minorHAnsi" w:cstheme="minorHAnsi"/>
        </w:rPr>
        <w:t xml:space="preserve"> do finále GPX</w:t>
      </w:r>
      <w:r>
        <w:rPr>
          <w:rFonts w:asciiTheme="minorHAnsi" w:hAnsiTheme="minorHAnsi" w:cstheme="minorHAnsi"/>
        </w:rPr>
        <w:t xml:space="preserve"> pre každú kategóriu (minimálne traja) a miesto konania finále budú oznámené vopred.</w:t>
      </w:r>
    </w:p>
    <w:p w:rsidR="00932CA7" w:rsidRDefault="00932CA7" w:rsidP="00A655FD">
      <w:pPr>
        <w:pStyle w:val="Zkladntext2"/>
        <w:spacing w:line="240" w:lineRule="auto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A655FD" w:rsidRDefault="00A655FD" w:rsidP="00A655FD">
      <w:pPr>
        <w:pStyle w:val="Zkladntext2"/>
        <w:spacing w:line="240" w:lineRule="auto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CD746C">
        <w:rPr>
          <w:rFonts w:asciiTheme="minorHAnsi" w:hAnsiTheme="minorHAnsi" w:cstheme="minorHAnsi"/>
          <w:b/>
          <w:sz w:val="22"/>
          <w:szCs w:val="22"/>
          <w:lang w:val="sk-SK"/>
        </w:rPr>
        <w:t>Pozývame všetkých záujemcov z radov žiakov a tešíme sa na Vás.</w:t>
      </w:r>
    </w:p>
    <w:p w:rsidR="0044638B" w:rsidRDefault="0044638B" w:rsidP="00A655FD">
      <w:pPr>
        <w:pStyle w:val="Zkladntext2"/>
        <w:spacing w:line="240" w:lineRule="auto"/>
        <w:rPr>
          <w:rFonts w:asciiTheme="minorHAnsi" w:hAnsiTheme="minorHAnsi" w:cstheme="minorHAnsi"/>
          <w:b/>
          <w:sz w:val="22"/>
          <w:szCs w:val="22"/>
          <w:lang w:val="sk-SK"/>
        </w:rPr>
      </w:pPr>
    </w:p>
    <w:p w:rsidR="0044638B" w:rsidRPr="00CD746C" w:rsidRDefault="0044638B" w:rsidP="00A655FD">
      <w:pPr>
        <w:pStyle w:val="Zkladntext2"/>
        <w:spacing w:line="240" w:lineRule="auto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sz w:val="22"/>
          <w:szCs w:val="22"/>
          <w:lang w:val="sk-SK"/>
        </w:rPr>
        <w:t>V Liptovskom Mikuláši 2.mája 2023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ab/>
      </w:r>
      <w:r w:rsidR="00A811BE">
        <w:rPr>
          <w:rFonts w:asciiTheme="minorHAnsi" w:hAnsiTheme="minorHAnsi" w:cstheme="minorHAnsi"/>
          <w:b/>
          <w:sz w:val="22"/>
          <w:szCs w:val="22"/>
          <w:lang w:val="sk-SK"/>
        </w:rPr>
        <w:t>Roman Králik</w:t>
      </w:r>
      <w:r>
        <w:rPr>
          <w:rFonts w:asciiTheme="minorHAnsi" w:hAnsiTheme="minorHAnsi" w:cstheme="minorHAnsi"/>
          <w:b/>
          <w:sz w:val="22"/>
          <w:szCs w:val="22"/>
          <w:lang w:val="sk-SK"/>
        </w:rPr>
        <w:t>, riaditeľ podujatia</w:t>
      </w:r>
    </w:p>
    <w:p w:rsidR="00A655FD" w:rsidRDefault="00A655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38B" w:rsidRPr="00A655FD" w:rsidRDefault="0044638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4638B" w:rsidRPr="00A655FD" w:rsidSect="003209A1">
      <w:pgSz w:w="11906" w:h="16838"/>
      <w:pgMar w:top="762" w:right="718" w:bottom="97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2FAA"/>
    <w:multiLevelType w:val="hybridMultilevel"/>
    <w:tmpl w:val="7C38DCB8"/>
    <w:lvl w:ilvl="0" w:tplc="23003B8E">
      <w:start w:val="22"/>
      <w:numFmt w:val="decimal"/>
      <w:pStyle w:val="Nadpi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000AEDEC">
      <w:start w:val="1"/>
      <w:numFmt w:val="lowerLetter"/>
      <w:lvlText w:val="%2"/>
      <w:lvlJc w:val="left"/>
      <w:pPr>
        <w:ind w:left="5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2DFA5A44">
      <w:start w:val="1"/>
      <w:numFmt w:val="lowerRoman"/>
      <w:lvlText w:val="%3"/>
      <w:lvlJc w:val="left"/>
      <w:pPr>
        <w:ind w:left="6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ABED49A">
      <w:start w:val="1"/>
      <w:numFmt w:val="decimal"/>
      <w:lvlText w:val="%4"/>
      <w:lvlJc w:val="left"/>
      <w:pPr>
        <w:ind w:left="6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3C4091C">
      <w:start w:val="1"/>
      <w:numFmt w:val="lowerLetter"/>
      <w:lvlText w:val="%5"/>
      <w:lvlJc w:val="left"/>
      <w:pPr>
        <w:ind w:left="7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6AE78DE">
      <w:start w:val="1"/>
      <w:numFmt w:val="lowerRoman"/>
      <w:lvlText w:val="%6"/>
      <w:lvlJc w:val="left"/>
      <w:pPr>
        <w:ind w:left="8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3EF8FC8C">
      <w:start w:val="1"/>
      <w:numFmt w:val="decimal"/>
      <w:lvlText w:val="%7"/>
      <w:lvlJc w:val="left"/>
      <w:pPr>
        <w:ind w:left="8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1765632">
      <w:start w:val="1"/>
      <w:numFmt w:val="lowerLetter"/>
      <w:lvlText w:val="%8"/>
      <w:lvlJc w:val="left"/>
      <w:pPr>
        <w:ind w:left="9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1F5A1ABC">
      <w:start w:val="1"/>
      <w:numFmt w:val="lowerRoman"/>
      <w:lvlText w:val="%9"/>
      <w:lvlJc w:val="left"/>
      <w:pPr>
        <w:ind w:left="10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6233C"/>
    <w:rsid w:val="00036034"/>
    <w:rsid w:val="00090E10"/>
    <w:rsid w:val="001079A1"/>
    <w:rsid w:val="001D0845"/>
    <w:rsid w:val="002A0312"/>
    <w:rsid w:val="002A7A11"/>
    <w:rsid w:val="003209A1"/>
    <w:rsid w:val="003D08F2"/>
    <w:rsid w:val="00414BDE"/>
    <w:rsid w:val="00443505"/>
    <w:rsid w:val="0044638B"/>
    <w:rsid w:val="005E33D1"/>
    <w:rsid w:val="007A0636"/>
    <w:rsid w:val="00800F13"/>
    <w:rsid w:val="00903838"/>
    <w:rsid w:val="009261D6"/>
    <w:rsid w:val="00932CA7"/>
    <w:rsid w:val="0096233C"/>
    <w:rsid w:val="00A655FD"/>
    <w:rsid w:val="00A811BE"/>
    <w:rsid w:val="00B710A1"/>
    <w:rsid w:val="00C142CF"/>
    <w:rsid w:val="00CA3096"/>
    <w:rsid w:val="00D46E97"/>
    <w:rsid w:val="00DA3583"/>
    <w:rsid w:val="00EE7003"/>
    <w:rsid w:val="00FC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09A1"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rsid w:val="003209A1"/>
    <w:pPr>
      <w:keepNext/>
      <w:keepLines/>
      <w:numPr>
        <w:numId w:val="1"/>
      </w:numPr>
      <w:spacing w:after="0"/>
      <w:ind w:left="1109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65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A655F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3209A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rsid w:val="003209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D46E97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655F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A655F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Zkladntext2">
    <w:name w:val="Body Text 2"/>
    <w:basedOn w:val="Normlny"/>
    <w:link w:val="Zkladntext2Char"/>
    <w:unhideWhenUsed/>
    <w:rsid w:val="00A655F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MS Sans Serif" w:eastAsia="Times New Roman" w:hAnsi="MS Sans Serif" w:cs="Times New Roman"/>
      <w:color w:val="auto"/>
      <w:sz w:val="20"/>
      <w:szCs w:val="20"/>
      <w:lang w:val="en-US" w:eastAsia="cs-CZ"/>
    </w:rPr>
  </w:style>
  <w:style w:type="character" w:customStyle="1" w:styleId="Zkladntext2Char">
    <w:name w:val="Základný text 2 Char"/>
    <w:basedOn w:val="Predvolenpsmoodseku"/>
    <w:link w:val="Zkladntext2"/>
    <w:rsid w:val="00A655FD"/>
    <w:rPr>
      <w:rFonts w:ascii="MS Sans Serif" w:eastAsia="Times New Roman" w:hAnsi="MS Sans Serif" w:cs="Times New Roman"/>
      <w:sz w:val="20"/>
      <w:szCs w:val="20"/>
      <w:lang w:val="en-US"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A655FD"/>
    <w:pPr>
      <w:spacing w:after="0" w:line="240" w:lineRule="auto"/>
    </w:pPr>
    <w:rPr>
      <w:rFonts w:eastAsiaTheme="minorHAnsi" w:cstheme="minorBidi"/>
      <w:color w:val="auto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655FD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1"/>
      </w:numPr>
      <w:spacing w:after="0"/>
      <w:ind w:left="1109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lss.csweb.sk" TargetMode="External"/><Relationship Id="rId18" Type="http://schemas.openxmlformats.org/officeDocument/2006/relationships/hyperlink" Target="http://www.chess.sk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s://forms.gle/o6bYaaReFX4TgBJR9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juraj.ivanlm@gmail.com" TargetMode="External"/><Relationship Id="rId17" Type="http://schemas.openxmlformats.org/officeDocument/2006/relationships/hyperlink" Target="https://gpx.jogo.s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ss.sk" TargetMode="External"/><Relationship Id="rId20" Type="http://schemas.openxmlformats.org/officeDocument/2006/relationships/hyperlink" Target="https://gpx.jogo.sk/standings_2022_2023.php?groupId=2&amp;category=0&amp;ci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goo.gl/maps/Kze5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hess.sk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mailto:pekar.karol@imafex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lss.chess.s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Propozície MSR2015</vt:lpstr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 MSR2015</dc:title>
  <dc:subject/>
  <dc:creator>Karol</dc:creator>
  <cp:keywords/>
  <cp:lastModifiedBy>Karol Pekar</cp:lastModifiedBy>
  <cp:revision>11</cp:revision>
  <dcterms:created xsi:type="dcterms:W3CDTF">2017-09-19T18:05:00Z</dcterms:created>
  <dcterms:modified xsi:type="dcterms:W3CDTF">2023-05-02T07:47:00Z</dcterms:modified>
</cp:coreProperties>
</file>